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0B" w:rsidRPr="005F3A0B" w:rsidRDefault="005F3A0B" w:rsidP="005F3A0B">
      <w:pPr>
        <w:tabs>
          <w:tab w:val="center" w:pos="5400"/>
          <w:tab w:val="right" w:pos="10800"/>
        </w:tabs>
        <w:jc w:val="right"/>
        <w:rPr>
          <w:rFonts w:asciiTheme="majorHAnsi" w:hAnsiTheme="majorHAnsi"/>
          <w:b/>
          <w:sz w:val="28"/>
          <w:szCs w:val="28"/>
        </w:rPr>
      </w:pPr>
      <w:r w:rsidRPr="005F3A0B">
        <w:rPr>
          <w:rFonts w:asciiTheme="majorHAnsi" w:hAnsiTheme="majorHAnsi"/>
          <w:b/>
          <w:sz w:val="28"/>
          <w:szCs w:val="28"/>
        </w:rPr>
        <w:t>ANNEXURE-V (</w:t>
      </w:r>
      <w:r>
        <w:rPr>
          <w:rFonts w:asciiTheme="majorHAnsi" w:hAnsiTheme="majorHAnsi"/>
          <w:b/>
          <w:sz w:val="28"/>
          <w:szCs w:val="28"/>
        </w:rPr>
        <w:t>E</w:t>
      </w:r>
      <w:r w:rsidRPr="005F3A0B">
        <w:rPr>
          <w:rFonts w:asciiTheme="majorHAnsi" w:hAnsiTheme="majorHAnsi"/>
          <w:b/>
          <w:sz w:val="28"/>
          <w:szCs w:val="28"/>
        </w:rPr>
        <w:t>)</w:t>
      </w:r>
    </w:p>
    <w:p w:rsidR="005F3A0B" w:rsidRPr="005F3A0B" w:rsidRDefault="005F3A0B" w:rsidP="005F3A0B">
      <w:pPr>
        <w:tabs>
          <w:tab w:val="center" w:pos="5400"/>
          <w:tab w:val="right" w:pos="1080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F3A0B">
        <w:rPr>
          <w:rFonts w:asciiTheme="majorHAnsi" w:hAnsiTheme="majorHAnsi"/>
          <w:b/>
          <w:sz w:val="24"/>
          <w:szCs w:val="24"/>
          <w:u w:val="single"/>
        </w:rPr>
        <w:t>Evaluative Report of the Economics Department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Faculty Profile, adequacy and competency of faculty.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margin" w:tblpX="1908" w:tblpY="-1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1983"/>
        <w:gridCol w:w="2000"/>
        <w:gridCol w:w="1760"/>
      </w:tblGrid>
      <w:tr w:rsidR="005F3A0B" w:rsidRPr="005F3A0B" w:rsidTr="002B526D">
        <w:trPr>
          <w:trHeight w:val="594"/>
        </w:trPr>
        <w:tc>
          <w:tcPr>
            <w:tcW w:w="2177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983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200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Teaching Experience</w:t>
            </w:r>
          </w:p>
        </w:tc>
        <w:tc>
          <w:tcPr>
            <w:tcW w:w="176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  <w:p w:rsidR="005F3A0B" w:rsidRPr="005F3A0B" w:rsidRDefault="005F3A0B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3A0B" w:rsidRPr="005F3A0B" w:rsidTr="002B526D">
        <w:trPr>
          <w:trHeight w:val="353"/>
        </w:trPr>
        <w:tc>
          <w:tcPr>
            <w:tcW w:w="2177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Sumanta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Kumar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Mahapatra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M.A.  (Eco) &amp;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M.Ed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15 years</w:t>
            </w:r>
          </w:p>
        </w:tc>
        <w:tc>
          <w:tcPr>
            <w:tcW w:w="176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Senior Lecturer</w:t>
            </w:r>
          </w:p>
        </w:tc>
      </w:tr>
      <w:tr w:rsidR="005F3A0B" w:rsidRPr="005F3A0B" w:rsidTr="002B526D">
        <w:trPr>
          <w:trHeight w:val="388"/>
        </w:trPr>
        <w:tc>
          <w:tcPr>
            <w:tcW w:w="2177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VT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Vasagan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M.B.A,M.A.(Eco) 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Ph.D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(Pursuing)</w:t>
            </w:r>
          </w:p>
        </w:tc>
        <w:tc>
          <w:tcPr>
            <w:tcW w:w="200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16 years</w:t>
            </w:r>
          </w:p>
        </w:tc>
        <w:tc>
          <w:tcPr>
            <w:tcW w:w="176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Senior Lecturer</w:t>
            </w:r>
          </w:p>
        </w:tc>
      </w:tr>
      <w:tr w:rsidR="005F3A0B" w:rsidRPr="005F3A0B" w:rsidTr="002B526D">
        <w:trPr>
          <w:trHeight w:val="388"/>
        </w:trPr>
        <w:tc>
          <w:tcPr>
            <w:tcW w:w="2177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Santosh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Kumar</w:t>
            </w:r>
          </w:p>
        </w:tc>
        <w:tc>
          <w:tcPr>
            <w:tcW w:w="1983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M.Com;  NET Qualified:  MBA (Pursuing) </w:t>
            </w:r>
          </w:p>
        </w:tc>
        <w:tc>
          <w:tcPr>
            <w:tcW w:w="200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7 years</w:t>
            </w:r>
          </w:p>
        </w:tc>
        <w:tc>
          <w:tcPr>
            <w:tcW w:w="1760" w:type="dxa"/>
            <w:shd w:val="clear" w:color="auto" w:fill="auto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Assistant Professor</w:t>
            </w:r>
          </w:p>
        </w:tc>
      </w:tr>
    </w:tbl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firstLine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 xml:space="preserve">Students Profile: </w:t>
      </w:r>
    </w:p>
    <w:p w:rsidR="005F3A0B" w:rsidRPr="005F3A0B" w:rsidRDefault="005F3A0B" w:rsidP="005F3A0B">
      <w:pPr>
        <w:ind w:left="108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 xml:space="preserve">           </w:t>
      </w:r>
      <w:r w:rsidRPr="005F3A0B">
        <w:rPr>
          <w:rFonts w:asciiTheme="majorHAnsi" w:hAnsiTheme="majorHAnsi"/>
          <w:b/>
          <w:sz w:val="24"/>
          <w:szCs w:val="24"/>
        </w:rPr>
        <w:tab/>
      </w:r>
      <w:r w:rsidRPr="005F3A0B">
        <w:rPr>
          <w:rFonts w:asciiTheme="majorHAnsi" w:hAnsiTheme="majorHAnsi"/>
          <w:b/>
          <w:sz w:val="24"/>
          <w:szCs w:val="24"/>
        </w:rPr>
        <w:tab/>
        <w:t>Number of students registered for the course:</w:t>
      </w:r>
    </w:p>
    <w:tbl>
      <w:tblPr>
        <w:tblpPr w:leftFromText="180" w:rightFromText="180" w:vertAnchor="text" w:horzAnchor="page" w:tblpX="2809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031"/>
        <w:gridCol w:w="1877"/>
        <w:gridCol w:w="1347"/>
      </w:tblGrid>
      <w:tr w:rsidR="005F3A0B" w:rsidRPr="005F3A0B" w:rsidTr="002B526D">
        <w:trPr>
          <w:trHeight w:val="42"/>
        </w:trPr>
        <w:tc>
          <w:tcPr>
            <w:tcW w:w="1818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</w:tc>
        <w:tc>
          <w:tcPr>
            <w:tcW w:w="2031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Male</w:t>
            </w:r>
          </w:p>
        </w:tc>
        <w:tc>
          <w:tcPr>
            <w:tcW w:w="187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134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</w:tr>
      <w:tr w:rsidR="005F3A0B" w:rsidRPr="005F3A0B" w:rsidTr="002B526D">
        <w:trPr>
          <w:trHeight w:val="58"/>
        </w:trPr>
        <w:tc>
          <w:tcPr>
            <w:tcW w:w="1818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BBA - II</w:t>
            </w:r>
          </w:p>
        </w:tc>
        <w:tc>
          <w:tcPr>
            <w:tcW w:w="2031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07</w:t>
            </w:r>
          </w:p>
        </w:tc>
        <w:tc>
          <w:tcPr>
            <w:tcW w:w="187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134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5F3A0B" w:rsidRPr="005F3A0B" w:rsidTr="002B526D">
        <w:trPr>
          <w:trHeight w:val="58"/>
        </w:trPr>
        <w:tc>
          <w:tcPr>
            <w:tcW w:w="1818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BCA - II</w:t>
            </w:r>
          </w:p>
        </w:tc>
        <w:tc>
          <w:tcPr>
            <w:tcW w:w="2031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06</w:t>
            </w:r>
          </w:p>
        </w:tc>
        <w:tc>
          <w:tcPr>
            <w:tcW w:w="187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134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08</w:t>
            </w:r>
          </w:p>
        </w:tc>
      </w:tr>
      <w:tr w:rsidR="005F3A0B" w:rsidRPr="005F3A0B" w:rsidTr="002B526D">
        <w:trPr>
          <w:trHeight w:val="181"/>
        </w:trPr>
        <w:tc>
          <w:tcPr>
            <w:tcW w:w="1818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BBA – IV</w:t>
            </w:r>
          </w:p>
        </w:tc>
        <w:tc>
          <w:tcPr>
            <w:tcW w:w="2031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187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134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</w:tr>
      <w:tr w:rsidR="005F3A0B" w:rsidRPr="005F3A0B" w:rsidTr="002B526D">
        <w:trPr>
          <w:trHeight w:val="228"/>
        </w:trPr>
        <w:tc>
          <w:tcPr>
            <w:tcW w:w="1818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BBA - VI</w:t>
            </w:r>
          </w:p>
        </w:tc>
        <w:tc>
          <w:tcPr>
            <w:tcW w:w="2031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87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34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</w:tr>
      <w:tr w:rsidR="005F3A0B" w:rsidRPr="005F3A0B" w:rsidTr="002B526D">
        <w:trPr>
          <w:trHeight w:val="228"/>
        </w:trPr>
        <w:tc>
          <w:tcPr>
            <w:tcW w:w="1818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MBA - II</w:t>
            </w:r>
          </w:p>
        </w:tc>
        <w:tc>
          <w:tcPr>
            <w:tcW w:w="2031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08</w:t>
            </w:r>
          </w:p>
        </w:tc>
        <w:tc>
          <w:tcPr>
            <w:tcW w:w="187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134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5F3A0B" w:rsidRPr="005F3A0B" w:rsidTr="002B526D">
        <w:trPr>
          <w:trHeight w:val="228"/>
        </w:trPr>
        <w:tc>
          <w:tcPr>
            <w:tcW w:w="1818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MBA - IV</w:t>
            </w:r>
          </w:p>
        </w:tc>
        <w:tc>
          <w:tcPr>
            <w:tcW w:w="2031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87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1347" w:type="dxa"/>
            <w:shd w:val="clear" w:color="auto" w:fill="auto"/>
          </w:tcPr>
          <w:p w:rsidR="005F3A0B" w:rsidRPr="005F3A0B" w:rsidRDefault="005F3A0B" w:rsidP="002B526D">
            <w:pPr>
              <w:tabs>
                <w:tab w:val="left" w:pos="48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</w:tr>
    </w:tbl>
    <w:p w:rsidR="005F3A0B" w:rsidRPr="005F3A0B" w:rsidRDefault="005F3A0B" w:rsidP="005F3A0B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br w:type="textWrapping" w:clear="all"/>
      </w: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 xml:space="preserve">Changes made in the courses or </w:t>
      </w:r>
      <w:proofErr w:type="spellStart"/>
      <w:r w:rsidRPr="005F3A0B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5F3A0B">
        <w:rPr>
          <w:rFonts w:asciiTheme="majorHAnsi" w:hAnsiTheme="majorHAnsi"/>
          <w:b/>
          <w:sz w:val="24"/>
          <w:szCs w:val="24"/>
        </w:rPr>
        <w:t xml:space="preserve"> in last year and the contribution of the faculty to those changes.</w:t>
      </w:r>
    </w:p>
    <w:p w:rsidR="005F3A0B" w:rsidRPr="005F3A0B" w:rsidRDefault="005F3A0B" w:rsidP="005F3A0B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Standardization of the current curriculum of various courses and also the development of new curriculum for the upcoming B.Com. </w:t>
      </w:r>
      <w:proofErr w:type="spellStart"/>
      <w:proofErr w:type="gramStart"/>
      <w:r w:rsidRPr="005F3A0B">
        <w:rPr>
          <w:rFonts w:asciiTheme="majorHAnsi" w:hAnsiTheme="majorHAnsi"/>
          <w:sz w:val="24"/>
          <w:szCs w:val="24"/>
        </w:rPr>
        <w:t>programme</w:t>
      </w:r>
      <w:proofErr w:type="spellEnd"/>
      <w:proofErr w:type="gramEnd"/>
      <w:r w:rsidRPr="005F3A0B">
        <w:rPr>
          <w:rFonts w:asciiTheme="majorHAnsi" w:hAnsiTheme="majorHAnsi"/>
          <w:sz w:val="24"/>
          <w:szCs w:val="24"/>
        </w:rPr>
        <w:t>. Subject wise list is listed below:-</w:t>
      </w: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1244"/>
        <w:gridCol w:w="4548"/>
      </w:tblGrid>
      <w:tr w:rsidR="005F3A0B" w:rsidRPr="005F3A0B" w:rsidTr="002B526D">
        <w:trPr>
          <w:trHeight w:val="261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Program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</w:tr>
      <w:tr w:rsidR="005F3A0B" w:rsidRPr="005F3A0B" w:rsidTr="002B526D">
        <w:trPr>
          <w:trHeight w:val="246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lastRenderedPageBreak/>
              <w:t>BBA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Managerial Economics-I</w:t>
            </w:r>
          </w:p>
        </w:tc>
      </w:tr>
      <w:tr w:rsidR="005F3A0B" w:rsidRPr="005F3A0B" w:rsidTr="002B526D">
        <w:trPr>
          <w:trHeight w:val="246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BBA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Business Statistics</w:t>
            </w:r>
          </w:p>
        </w:tc>
      </w:tr>
      <w:tr w:rsidR="005F3A0B" w:rsidRPr="005F3A0B" w:rsidTr="002B526D">
        <w:trPr>
          <w:trHeight w:val="261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BBA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Managerial Economics - II</w:t>
            </w:r>
          </w:p>
        </w:tc>
      </w:tr>
      <w:tr w:rsidR="005F3A0B" w:rsidRPr="005F3A0B" w:rsidTr="002B526D">
        <w:trPr>
          <w:trHeight w:val="277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BBA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Quantitative Methods</w:t>
            </w:r>
          </w:p>
        </w:tc>
      </w:tr>
      <w:tr w:rsidR="005F3A0B" w:rsidRPr="005F3A0B" w:rsidTr="002B526D">
        <w:trPr>
          <w:trHeight w:val="277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B.Com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Business Economics-I</w:t>
            </w:r>
          </w:p>
        </w:tc>
      </w:tr>
      <w:tr w:rsidR="005F3A0B" w:rsidRPr="005F3A0B" w:rsidTr="002B526D">
        <w:trPr>
          <w:trHeight w:val="277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B.Com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Business Statistics</w:t>
            </w:r>
          </w:p>
        </w:tc>
      </w:tr>
      <w:tr w:rsidR="005F3A0B" w:rsidRPr="005F3A0B" w:rsidTr="002B526D">
        <w:trPr>
          <w:trHeight w:val="277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B.Com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Business Economics –II</w:t>
            </w:r>
          </w:p>
        </w:tc>
      </w:tr>
      <w:tr w:rsidR="005F3A0B" w:rsidRPr="005F3A0B" w:rsidTr="002B526D">
        <w:trPr>
          <w:trHeight w:val="277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B.Com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Business Environment</w:t>
            </w:r>
          </w:p>
        </w:tc>
      </w:tr>
      <w:tr w:rsidR="005F3A0B" w:rsidRPr="005F3A0B" w:rsidTr="002B526D">
        <w:trPr>
          <w:trHeight w:val="277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BCA</w:t>
            </w: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Principles of Economics</w:t>
            </w:r>
          </w:p>
        </w:tc>
      </w:tr>
      <w:tr w:rsidR="005F3A0B" w:rsidRPr="005F3A0B" w:rsidTr="002B526D">
        <w:trPr>
          <w:trHeight w:val="277"/>
        </w:trPr>
        <w:tc>
          <w:tcPr>
            <w:tcW w:w="1202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8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F3A0B" w:rsidRPr="005F3A0B" w:rsidRDefault="005F3A0B" w:rsidP="005F3A0B">
      <w:pPr>
        <w:rPr>
          <w:rFonts w:asciiTheme="majorHAnsi" w:hAnsiTheme="majorHAnsi"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 xml:space="preserve">Trend in the success rate and </w:t>
      </w:r>
      <w:proofErr w:type="spellStart"/>
      <w:r w:rsidRPr="005F3A0B">
        <w:rPr>
          <w:rFonts w:asciiTheme="majorHAnsi" w:hAnsiTheme="majorHAnsi"/>
          <w:b/>
          <w:sz w:val="24"/>
          <w:szCs w:val="24"/>
        </w:rPr>
        <w:t>drop out</w:t>
      </w:r>
      <w:proofErr w:type="spellEnd"/>
      <w:r w:rsidRPr="005F3A0B">
        <w:rPr>
          <w:rFonts w:asciiTheme="majorHAnsi" w:hAnsiTheme="majorHAnsi"/>
          <w:b/>
          <w:sz w:val="24"/>
          <w:szCs w:val="24"/>
        </w:rPr>
        <w:t xml:space="preserve"> rate of students in last year.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Success rate :   100%                 Dropout rate: 0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Learning resources of the department like library, computers, laboratories and other such resources.</w:t>
      </w:r>
    </w:p>
    <w:p w:rsidR="005F3A0B" w:rsidRPr="005F3A0B" w:rsidRDefault="005F3A0B" w:rsidP="005F3A0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Central Library is available with sufficient quantity and good quality books relating to Economics and Quantitative technique and also many Journals and magazines for Economics. 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Enhancement of the learning resources in last year.</w:t>
      </w:r>
    </w:p>
    <w:p w:rsidR="005F3A0B" w:rsidRPr="005F3A0B" w:rsidRDefault="005F3A0B" w:rsidP="005F3A0B">
      <w:pPr>
        <w:ind w:left="144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The number of Books and Journals enhanced last year in Library are as follows:</w:t>
      </w:r>
    </w:p>
    <w:p w:rsidR="005F3A0B" w:rsidRPr="005F3A0B" w:rsidRDefault="005F3A0B" w:rsidP="005F3A0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Books relating to Economics and Quantitative technique(Not categorized separately)          </w:t>
      </w:r>
    </w:p>
    <w:p w:rsidR="005F3A0B" w:rsidRPr="005F3A0B" w:rsidRDefault="005F3A0B" w:rsidP="005F3A0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Journals relating to Economics and Quantitative technique (13 numbers)</w:t>
      </w: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Modern Teaching methods in practice other than the lecture method.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Case studies.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Live Projects.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Internship Program.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Management Thesis.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Student’s presentation using ppt.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Seminars.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LCD for class room teaching</w:t>
      </w:r>
    </w:p>
    <w:p w:rsidR="005F3A0B" w:rsidRPr="005F3A0B" w:rsidRDefault="005F3A0B" w:rsidP="005F3A0B">
      <w:pPr>
        <w:numPr>
          <w:ilvl w:val="0"/>
          <w:numId w:val="4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Group discussion </w:t>
      </w:r>
    </w:p>
    <w:p w:rsidR="005F3A0B" w:rsidRPr="005F3A0B" w:rsidRDefault="005F3A0B" w:rsidP="005F3A0B">
      <w:pPr>
        <w:ind w:left="144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        .</w:t>
      </w: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 xml:space="preserve">Participation of teachers in academic and personal counseling of students. 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lastRenderedPageBreak/>
        <w:t>Though</w:t>
      </w:r>
      <w:r w:rsidRPr="005F3A0B">
        <w:rPr>
          <w:rFonts w:asciiTheme="majorHAnsi" w:hAnsiTheme="majorHAnsi"/>
          <w:i/>
          <w:sz w:val="24"/>
          <w:szCs w:val="24"/>
        </w:rPr>
        <w:t xml:space="preserve"> </w:t>
      </w:r>
      <w:r w:rsidRPr="005F3A0B">
        <w:rPr>
          <w:rFonts w:asciiTheme="majorHAnsi" w:hAnsiTheme="majorHAnsi"/>
          <w:sz w:val="24"/>
          <w:szCs w:val="24"/>
        </w:rPr>
        <w:t xml:space="preserve">there is a separate cell for student </w:t>
      </w:r>
      <w:proofErr w:type="spellStart"/>
      <w:r w:rsidRPr="005F3A0B">
        <w:rPr>
          <w:rFonts w:asciiTheme="majorHAnsi" w:hAnsiTheme="majorHAnsi"/>
          <w:sz w:val="24"/>
          <w:szCs w:val="24"/>
        </w:rPr>
        <w:t>councelling</w:t>
      </w:r>
      <w:proofErr w:type="spellEnd"/>
      <w:r w:rsidRPr="005F3A0B">
        <w:rPr>
          <w:rFonts w:asciiTheme="majorHAnsi" w:hAnsiTheme="majorHAnsi"/>
          <w:sz w:val="24"/>
          <w:szCs w:val="24"/>
        </w:rPr>
        <w:t xml:space="preserve"> still lecturers use to counsel the students of their respective classes to be regular and for the improvement of their performances, future career etc. individually and personally.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 xml:space="preserve">Details of faculty development </w:t>
      </w:r>
      <w:proofErr w:type="spellStart"/>
      <w:r w:rsidRPr="005F3A0B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5F3A0B">
        <w:rPr>
          <w:rFonts w:asciiTheme="majorHAnsi" w:hAnsiTheme="majorHAnsi"/>
          <w:b/>
          <w:sz w:val="24"/>
          <w:szCs w:val="24"/>
        </w:rPr>
        <w:t xml:space="preserve"> and teachers who benefited during last year.</w:t>
      </w:r>
    </w:p>
    <w:p w:rsidR="005F3A0B" w:rsidRPr="005F3A0B" w:rsidRDefault="005F3A0B" w:rsidP="005F3A0B">
      <w:pPr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                 </w:t>
      </w:r>
      <w:r w:rsidRPr="005F3A0B">
        <w:rPr>
          <w:rFonts w:asciiTheme="majorHAnsi" w:hAnsiTheme="majorHAnsi"/>
          <w:sz w:val="24"/>
          <w:szCs w:val="24"/>
        </w:rPr>
        <w:tab/>
        <w:t xml:space="preserve">Faculty development </w:t>
      </w:r>
      <w:proofErr w:type="spellStart"/>
      <w:r w:rsidRPr="005F3A0B">
        <w:rPr>
          <w:rFonts w:asciiTheme="majorHAnsi" w:hAnsiTheme="majorHAnsi"/>
          <w:sz w:val="24"/>
          <w:szCs w:val="24"/>
        </w:rPr>
        <w:t>programmes</w:t>
      </w:r>
      <w:proofErr w:type="spellEnd"/>
      <w:r w:rsidRPr="005F3A0B">
        <w:rPr>
          <w:rFonts w:asciiTheme="majorHAnsi" w:hAnsiTheme="majorHAnsi"/>
          <w:sz w:val="24"/>
          <w:szCs w:val="24"/>
        </w:rPr>
        <w:t xml:space="preserve"> at ICFAI University and organized by ICFAI society was               </w:t>
      </w:r>
      <w:r w:rsidRPr="005F3A0B">
        <w:rPr>
          <w:rFonts w:asciiTheme="majorHAnsi" w:hAnsiTheme="majorHAnsi"/>
          <w:sz w:val="24"/>
          <w:szCs w:val="24"/>
        </w:rPr>
        <w:tab/>
      </w:r>
      <w:r w:rsidRPr="005F3A0B">
        <w:rPr>
          <w:rFonts w:asciiTheme="majorHAnsi" w:hAnsiTheme="majorHAnsi"/>
          <w:sz w:val="24"/>
          <w:szCs w:val="24"/>
        </w:rPr>
        <w:tab/>
        <w:t>attended by the following faculties-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                                                   </w:t>
      </w:r>
    </w:p>
    <w:tbl>
      <w:tblPr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87"/>
        <w:gridCol w:w="4945"/>
      </w:tblGrid>
      <w:tr w:rsidR="005F3A0B" w:rsidRPr="005F3A0B" w:rsidTr="002B526D">
        <w:trPr>
          <w:trHeight w:val="270"/>
        </w:trPr>
        <w:tc>
          <w:tcPr>
            <w:tcW w:w="2187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4945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Name of the faculty who attended</w:t>
            </w:r>
          </w:p>
        </w:tc>
      </w:tr>
      <w:tr w:rsidR="005F3A0B" w:rsidRPr="005F3A0B" w:rsidTr="002B526D">
        <w:trPr>
          <w:trHeight w:val="270"/>
        </w:trPr>
        <w:tc>
          <w:tcPr>
            <w:tcW w:w="2187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2009</w:t>
            </w:r>
          </w:p>
        </w:tc>
        <w:tc>
          <w:tcPr>
            <w:tcW w:w="4945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Sumanta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Kumar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Mahapatra</w:t>
            </w:r>
            <w:proofErr w:type="spellEnd"/>
          </w:p>
        </w:tc>
      </w:tr>
      <w:tr w:rsidR="005F3A0B" w:rsidRPr="005F3A0B" w:rsidTr="002B526D">
        <w:trPr>
          <w:trHeight w:val="270"/>
        </w:trPr>
        <w:tc>
          <w:tcPr>
            <w:tcW w:w="2187" w:type="dxa"/>
            <w:vMerge w:val="restart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2010</w:t>
            </w:r>
          </w:p>
        </w:tc>
        <w:tc>
          <w:tcPr>
            <w:tcW w:w="4945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Sumanta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Kumar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Mahapatra</w:t>
            </w:r>
            <w:proofErr w:type="spellEnd"/>
          </w:p>
        </w:tc>
      </w:tr>
      <w:tr w:rsidR="005F3A0B" w:rsidRPr="005F3A0B" w:rsidTr="002B526D">
        <w:trPr>
          <w:trHeight w:val="270"/>
        </w:trPr>
        <w:tc>
          <w:tcPr>
            <w:tcW w:w="2187" w:type="dxa"/>
            <w:vMerge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5F3A0B" w:rsidRPr="005F3A0B" w:rsidRDefault="005F3A0B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              Mr. VT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Vasagan</w:t>
            </w:r>
            <w:proofErr w:type="spellEnd"/>
          </w:p>
        </w:tc>
      </w:tr>
      <w:tr w:rsidR="005F3A0B" w:rsidRPr="005F3A0B" w:rsidTr="002B526D">
        <w:trPr>
          <w:trHeight w:val="285"/>
        </w:trPr>
        <w:tc>
          <w:tcPr>
            <w:tcW w:w="2187" w:type="dxa"/>
            <w:vMerge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5F3A0B" w:rsidRPr="005F3A0B" w:rsidRDefault="005F3A0B" w:rsidP="002B52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              Mr.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Santosh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Kumar</w:t>
            </w:r>
          </w:p>
        </w:tc>
      </w:tr>
    </w:tbl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Participation of teachers in academic activities other than teaching and research.</w:t>
      </w: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0"/>
        <w:gridCol w:w="4150"/>
      </w:tblGrid>
      <w:tr w:rsidR="005F3A0B" w:rsidRPr="005F3A0B" w:rsidTr="002B526D">
        <w:trPr>
          <w:trHeight w:val="239"/>
        </w:trPr>
        <w:tc>
          <w:tcPr>
            <w:tcW w:w="4150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Name of Faculty</w:t>
            </w:r>
          </w:p>
        </w:tc>
        <w:tc>
          <w:tcPr>
            <w:tcW w:w="4150" w:type="dxa"/>
          </w:tcPr>
          <w:p w:rsidR="005F3A0B" w:rsidRPr="005F3A0B" w:rsidRDefault="005F3A0B" w:rsidP="002B5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b/>
                <w:sz w:val="24"/>
                <w:szCs w:val="24"/>
              </w:rPr>
              <w:t>Academic activities</w:t>
            </w:r>
          </w:p>
        </w:tc>
      </w:tr>
      <w:tr w:rsidR="005F3A0B" w:rsidRPr="005F3A0B" w:rsidTr="002B526D">
        <w:trPr>
          <w:trHeight w:val="239"/>
        </w:trPr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Sumanta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Kumar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Mahapatra</w:t>
            </w:r>
            <w:proofErr w:type="spellEnd"/>
          </w:p>
        </w:tc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HoD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in the department of Economics.</w:t>
            </w:r>
          </w:p>
        </w:tc>
      </w:tr>
      <w:tr w:rsidR="005F3A0B" w:rsidRPr="005F3A0B" w:rsidTr="002B526D">
        <w:trPr>
          <w:trHeight w:val="253"/>
        </w:trPr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Santosh</w:t>
            </w:r>
            <w:proofErr w:type="spellEnd"/>
            <w:r w:rsidRPr="005F3A0B">
              <w:rPr>
                <w:rFonts w:asciiTheme="majorHAnsi" w:hAnsiTheme="majorHAnsi"/>
                <w:sz w:val="24"/>
                <w:szCs w:val="24"/>
              </w:rPr>
              <w:t xml:space="preserve"> Kumar</w:t>
            </w:r>
          </w:p>
        </w:tc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Member of Board of Studies.</w:t>
            </w:r>
          </w:p>
        </w:tc>
      </w:tr>
      <w:tr w:rsidR="005F3A0B" w:rsidRPr="005F3A0B" w:rsidTr="002B526D">
        <w:trPr>
          <w:trHeight w:val="253"/>
        </w:trPr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 xml:space="preserve">Mr. VT </w:t>
            </w:r>
            <w:proofErr w:type="spellStart"/>
            <w:r w:rsidRPr="005F3A0B">
              <w:rPr>
                <w:rFonts w:asciiTheme="majorHAnsi" w:hAnsiTheme="majorHAnsi"/>
                <w:sz w:val="24"/>
                <w:szCs w:val="24"/>
              </w:rPr>
              <w:t>Vasagan</w:t>
            </w:r>
            <w:proofErr w:type="spellEnd"/>
          </w:p>
        </w:tc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  <w:r w:rsidRPr="005F3A0B">
              <w:rPr>
                <w:rFonts w:asciiTheme="majorHAnsi" w:hAnsiTheme="majorHAnsi"/>
                <w:sz w:val="24"/>
                <w:szCs w:val="24"/>
              </w:rPr>
              <w:t>Member of Board of Studies.</w:t>
            </w:r>
          </w:p>
        </w:tc>
      </w:tr>
      <w:tr w:rsidR="005F3A0B" w:rsidRPr="005F3A0B" w:rsidTr="002B526D">
        <w:trPr>
          <w:trHeight w:val="253"/>
        </w:trPr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3A0B" w:rsidRPr="005F3A0B" w:rsidRDefault="005F3A0B" w:rsidP="002B52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72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ind w:left="2160"/>
        <w:rPr>
          <w:rFonts w:asciiTheme="majorHAnsi" w:hAnsiTheme="majorHAnsi"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Collaborations with other departments and institutions at the national and international level and their outcome in last year.</w:t>
      </w:r>
    </w:p>
    <w:p w:rsidR="005F3A0B" w:rsidRPr="005F3A0B" w:rsidRDefault="005F3A0B" w:rsidP="005F3A0B">
      <w:pPr>
        <w:ind w:left="180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There is no collaboration yet but we are planning and working to words it.</w:t>
      </w:r>
    </w:p>
    <w:p w:rsidR="005F3A0B" w:rsidRPr="005F3A0B" w:rsidRDefault="005F3A0B" w:rsidP="005F3A0B">
      <w:pPr>
        <w:ind w:left="1080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br w:type="page"/>
      </w: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lastRenderedPageBreak/>
        <w:t xml:space="preserve">If research is a significant activity, what are the thrust areas of the </w:t>
      </w:r>
      <w:proofErr w:type="gramStart"/>
      <w:r w:rsidRPr="005F3A0B">
        <w:rPr>
          <w:rFonts w:asciiTheme="majorHAnsi" w:hAnsiTheme="majorHAnsi"/>
          <w:b/>
          <w:sz w:val="24"/>
          <w:szCs w:val="24"/>
        </w:rPr>
        <w:t>department.</w:t>
      </w:r>
      <w:proofErr w:type="gramEnd"/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Organizing seminars for students and teachers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Research paper publications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Paper presentation in seminars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Article and publication in magazines and journals </w:t>
      </w:r>
    </w:p>
    <w:p w:rsidR="005F3A0B" w:rsidRPr="005F3A0B" w:rsidRDefault="005F3A0B" w:rsidP="005F3A0B">
      <w:pPr>
        <w:ind w:left="1440"/>
        <w:rPr>
          <w:rFonts w:asciiTheme="majorHAnsi" w:hAnsiTheme="majorHAnsi"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Details of the ongoing projects and projects completed in last year.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The department has not undertaken any project as yet</w:t>
      </w:r>
      <w:r w:rsidRPr="005F3A0B">
        <w:rPr>
          <w:rFonts w:asciiTheme="majorHAnsi" w:hAnsiTheme="majorHAnsi"/>
          <w:b/>
          <w:sz w:val="24"/>
          <w:szCs w:val="24"/>
        </w:rPr>
        <w:t>.</w:t>
      </w:r>
    </w:p>
    <w:p w:rsidR="005F3A0B" w:rsidRPr="005F3A0B" w:rsidRDefault="005F3A0B" w:rsidP="005F3A0B">
      <w:pPr>
        <w:ind w:left="108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Methods of continuous student assessment.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Two written test per semester.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Live projects.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Power point Presentation.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Case studies.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End semester examination.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Class work and home work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Class attendance</w:t>
      </w:r>
    </w:p>
    <w:p w:rsidR="005F3A0B" w:rsidRPr="005F3A0B" w:rsidRDefault="005F3A0B" w:rsidP="005F3A0B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Student participation in the teaching learning process.</w:t>
      </w:r>
    </w:p>
    <w:p w:rsidR="005F3A0B" w:rsidRPr="005F3A0B" w:rsidRDefault="005F3A0B" w:rsidP="005F3A0B">
      <w:pPr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Placement record of the past students and the contribution of the department to the student placements.</w:t>
      </w: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ind w:left="216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rPr>
          <w:rFonts w:asciiTheme="majorHAnsi" w:hAnsiTheme="majorHAnsi"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F3A0B">
        <w:rPr>
          <w:rFonts w:asciiTheme="majorHAnsi" w:hAnsiTheme="majorHAnsi"/>
          <w:b/>
          <w:sz w:val="24"/>
          <w:szCs w:val="24"/>
        </w:rPr>
        <w:t>Involvement of students in academic/co-curricular and other activities of the department.</w:t>
      </w:r>
    </w:p>
    <w:p w:rsidR="005F3A0B" w:rsidRPr="005F3A0B" w:rsidRDefault="005F3A0B" w:rsidP="005F3A0B">
      <w:pPr>
        <w:ind w:left="1440"/>
        <w:rPr>
          <w:rFonts w:asciiTheme="majorHAnsi" w:hAnsiTheme="majorHAnsi"/>
          <w:b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Students participate in literally activities like quiz, debate, extemporary speech etc., sports and game, regular classes, life projects, discussions etc.</w:t>
      </w:r>
    </w:p>
    <w:p w:rsidR="005F3A0B" w:rsidRPr="005F3A0B" w:rsidRDefault="005F3A0B" w:rsidP="005F3A0B">
      <w:pPr>
        <w:rPr>
          <w:rFonts w:asciiTheme="majorHAnsi" w:hAnsiTheme="majorHAnsi"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ACTION PLAN OF THE DEPARTMENT OF </w:t>
      </w:r>
      <w:r w:rsidRPr="005F3A0B">
        <w:rPr>
          <w:rFonts w:asciiTheme="majorHAnsi" w:hAnsiTheme="majorHAnsi"/>
          <w:b/>
          <w:sz w:val="24"/>
          <w:szCs w:val="24"/>
        </w:rPr>
        <w:t>‘</w:t>
      </w:r>
      <w:r w:rsidRPr="005F3A0B">
        <w:rPr>
          <w:rFonts w:asciiTheme="majorHAnsi" w:hAnsiTheme="majorHAnsi"/>
          <w:b/>
          <w:i/>
          <w:sz w:val="24"/>
          <w:szCs w:val="24"/>
        </w:rPr>
        <w:t xml:space="preserve">Economics and quantitative </w:t>
      </w:r>
      <w:proofErr w:type="gramStart"/>
      <w:r w:rsidRPr="005F3A0B">
        <w:rPr>
          <w:rFonts w:asciiTheme="majorHAnsi" w:hAnsiTheme="majorHAnsi"/>
          <w:b/>
          <w:i/>
          <w:sz w:val="24"/>
          <w:szCs w:val="24"/>
        </w:rPr>
        <w:t>methods’</w:t>
      </w:r>
      <w:r w:rsidRPr="005F3A0B">
        <w:rPr>
          <w:rFonts w:asciiTheme="majorHAnsi" w:hAnsiTheme="majorHAnsi"/>
          <w:sz w:val="24"/>
          <w:szCs w:val="24"/>
        </w:rPr>
        <w:t xml:space="preserve">  FOR</w:t>
      </w:r>
      <w:proofErr w:type="gramEnd"/>
      <w:r w:rsidRPr="005F3A0B">
        <w:rPr>
          <w:rFonts w:asciiTheme="majorHAnsi" w:hAnsiTheme="majorHAnsi"/>
          <w:sz w:val="24"/>
          <w:szCs w:val="24"/>
        </w:rPr>
        <w:t xml:space="preserve"> THE YEAR 2013-2014.</w:t>
      </w:r>
    </w:p>
    <w:p w:rsidR="005F3A0B" w:rsidRPr="005F3A0B" w:rsidRDefault="005F3A0B" w:rsidP="005F3A0B">
      <w:pPr>
        <w:ind w:left="1080"/>
        <w:rPr>
          <w:rFonts w:asciiTheme="majorHAnsi" w:hAnsiTheme="majorHAnsi"/>
          <w:sz w:val="24"/>
          <w:szCs w:val="24"/>
        </w:rPr>
      </w:pP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Organizing a Seminar.</w:t>
      </w: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Workshops with the faculty of other institutions.</w:t>
      </w: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Organizing a Faculty Development Program.</w:t>
      </w: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Revision of curriculum for MBA courses.</w:t>
      </w: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 xml:space="preserve">Conduct guest </w:t>
      </w:r>
      <w:proofErr w:type="spellStart"/>
      <w:r w:rsidRPr="005F3A0B">
        <w:rPr>
          <w:rFonts w:asciiTheme="majorHAnsi" w:hAnsiTheme="majorHAnsi"/>
          <w:sz w:val="24"/>
          <w:szCs w:val="24"/>
        </w:rPr>
        <w:t>lectures</w:t>
      </w:r>
      <w:proofErr w:type="spellEnd"/>
      <w:r w:rsidRPr="005F3A0B">
        <w:rPr>
          <w:rFonts w:asciiTheme="majorHAnsi" w:hAnsiTheme="majorHAnsi"/>
          <w:sz w:val="24"/>
          <w:szCs w:val="24"/>
        </w:rPr>
        <w:t xml:space="preserve"> from other universities</w:t>
      </w: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Standardize syllabus.</w:t>
      </w:r>
    </w:p>
    <w:p w:rsidR="005F3A0B" w:rsidRPr="005F3A0B" w:rsidRDefault="005F3A0B" w:rsidP="005F3A0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F3A0B">
        <w:rPr>
          <w:rFonts w:asciiTheme="majorHAnsi" w:hAnsiTheme="majorHAnsi"/>
          <w:sz w:val="24"/>
          <w:szCs w:val="24"/>
        </w:rPr>
        <w:t>Organize debate, quiz etc.</w:t>
      </w:r>
    </w:p>
    <w:p w:rsidR="00030ADA" w:rsidRPr="005F3A0B" w:rsidRDefault="00030ADA">
      <w:pPr>
        <w:rPr>
          <w:rFonts w:asciiTheme="majorHAnsi" w:hAnsiTheme="majorHAnsi"/>
          <w:sz w:val="24"/>
          <w:szCs w:val="24"/>
        </w:rPr>
      </w:pPr>
    </w:p>
    <w:sectPr w:rsidR="00030ADA" w:rsidRPr="005F3A0B" w:rsidSect="003F179E">
      <w:pgSz w:w="12240" w:h="15840"/>
      <w:pgMar w:top="540" w:right="576" w:bottom="5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21"/>
    <w:multiLevelType w:val="hybridMultilevel"/>
    <w:tmpl w:val="9800B4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14338"/>
    <w:multiLevelType w:val="hybridMultilevel"/>
    <w:tmpl w:val="08447A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CA3027"/>
    <w:multiLevelType w:val="hybridMultilevel"/>
    <w:tmpl w:val="8BFCB0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47285E"/>
    <w:multiLevelType w:val="hybridMultilevel"/>
    <w:tmpl w:val="99B8BC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321D2C"/>
    <w:multiLevelType w:val="hybridMultilevel"/>
    <w:tmpl w:val="7A6C22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876B11"/>
    <w:multiLevelType w:val="hybridMultilevel"/>
    <w:tmpl w:val="89B2F5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A0B"/>
    <w:rsid w:val="00030ADA"/>
    <w:rsid w:val="005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2013-07-11T09:46:00Z</cp:lastPrinted>
  <dcterms:created xsi:type="dcterms:W3CDTF">2013-07-11T09:45:00Z</dcterms:created>
  <dcterms:modified xsi:type="dcterms:W3CDTF">2013-07-11T09:46:00Z</dcterms:modified>
</cp:coreProperties>
</file>