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4F" w:rsidRDefault="0023334F" w:rsidP="0023334F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12027C">
        <w:rPr>
          <w:rFonts w:asciiTheme="majorHAnsi" w:hAnsiTheme="majorHAnsi" w:cs="Arial"/>
          <w:b/>
          <w:sz w:val="28"/>
          <w:szCs w:val="28"/>
          <w:u w:val="single"/>
        </w:rPr>
        <w:t>University Grants Commission</w:t>
      </w:r>
    </w:p>
    <w:p w:rsidR="0023334F" w:rsidRDefault="0023334F" w:rsidP="0023334F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APPENDIX – VIII</w:t>
      </w:r>
    </w:p>
    <w:p w:rsidR="0023334F" w:rsidRPr="0023334F" w:rsidRDefault="0023334F" w:rsidP="0023334F">
      <w:pPr>
        <w:jc w:val="both"/>
        <w:rPr>
          <w:rFonts w:asciiTheme="majorHAnsi" w:hAnsiTheme="majorHAnsi" w:cs="Arial"/>
          <w:sz w:val="24"/>
          <w:szCs w:val="24"/>
        </w:rPr>
      </w:pPr>
      <w:r w:rsidRPr="0023334F">
        <w:rPr>
          <w:rFonts w:asciiTheme="majorHAnsi" w:hAnsiTheme="majorHAnsi" w:cs="Arial"/>
          <w:sz w:val="24"/>
          <w:szCs w:val="24"/>
        </w:rPr>
        <w:t xml:space="preserve">Information about the programs approved to be offered by </w:t>
      </w:r>
      <w:r w:rsidR="001333EA">
        <w:rPr>
          <w:rFonts w:asciiTheme="majorHAnsi" w:hAnsiTheme="majorHAnsi" w:cs="Arial"/>
          <w:sz w:val="24"/>
          <w:szCs w:val="24"/>
        </w:rPr>
        <w:t xml:space="preserve">The ICFAI University, Nagaland </w:t>
      </w:r>
      <w:r w:rsidRPr="0023334F">
        <w:rPr>
          <w:rFonts w:asciiTheme="majorHAnsi" w:hAnsiTheme="majorHAnsi" w:cs="Arial"/>
          <w:sz w:val="24"/>
          <w:szCs w:val="24"/>
        </w:rPr>
        <w:t xml:space="preserve"> Gazette Notification vide schedule to the Act No.2 of 2006 of 19.9.2006 of the State Government of Nagaland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Ind w:w="-335" w:type="dxa"/>
        <w:tblLook w:val="04A0"/>
      </w:tblPr>
      <w:tblGrid>
        <w:gridCol w:w="751"/>
        <w:gridCol w:w="5245"/>
        <w:gridCol w:w="2089"/>
        <w:gridCol w:w="1384"/>
      </w:tblGrid>
      <w:tr w:rsidR="0023334F" w:rsidTr="0023334F">
        <w:trPr>
          <w:jc w:val="center"/>
        </w:trPr>
        <w:tc>
          <w:tcPr>
            <w:tcW w:w="751" w:type="dxa"/>
          </w:tcPr>
          <w:p w:rsidR="0023334F" w:rsidRDefault="0023334F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S.No.</w:t>
            </w:r>
          </w:p>
        </w:tc>
        <w:tc>
          <w:tcPr>
            <w:tcW w:w="5245" w:type="dxa"/>
          </w:tcPr>
          <w:p w:rsidR="0023334F" w:rsidRDefault="0023334F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089" w:type="dxa"/>
          </w:tcPr>
          <w:p w:rsidR="0023334F" w:rsidRDefault="0023334F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Sanctioned Intake</w:t>
            </w:r>
          </w:p>
        </w:tc>
        <w:tc>
          <w:tcPr>
            <w:tcW w:w="1285" w:type="dxa"/>
          </w:tcPr>
          <w:p w:rsidR="0023334F" w:rsidRDefault="0023334F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Actual enrolment</w:t>
            </w:r>
          </w:p>
        </w:tc>
      </w:tr>
      <w:tr w:rsidR="0023334F" w:rsidTr="0023334F">
        <w:trPr>
          <w:trHeight w:val="1668"/>
          <w:jc w:val="center"/>
        </w:trPr>
        <w:tc>
          <w:tcPr>
            <w:tcW w:w="751" w:type="dxa"/>
          </w:tcPr>
          <w:p w:rsidR="0023334F" w:rsidRPr="006C42DE" w:rsidRDefault="0023334F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C42DE"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23334F" w:rsidRDefault="0023334F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ICFAI Business School – </w:t>
            </w:r>
          </w:p>
          <w:p w:rsidR="0023334F" w:rsidRDefault="0023334F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3334F" w:rsidRDefault="0023334F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MBA: Marketing, Accounting, Operations, Banking, IT &amp; Systems, Insurance, International Business, Investments, HRM, Entrepreneurship</w:t>
            </w:r>
          </w:p>
          <w:p w:rsidR="0023334F" w:rsidRDefault="0023334F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Finance</w:t>
            </w:r>
          </w:p>
          <w:p w:rsidR="0023334F" w:rsidRPr="0023334F" w:rsidRDefault="0023334F" w:rsidP="0023334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23334F" w:rsidRDefault="0023334F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23334F" w:rsidRPr="006C42DE" w:rsidRDefault="0023334F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23334F" w:rsidRDefault="0023334F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3334F" w:rsidRDefault="0023334F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3334F" w:rsidRPr="0023334F" w:rsidRDefault="0023334F" w:rsidP="0023334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3334F">
              <w:rPr>
                <w:rFonts w:asciiTheme="majorHAnsi" w:hAnsiTheme="majorHAnsi" w:cs="Arial"/>
                <w:sz w:val="24"/>
                <w:szCs w:val="24"/>
              </w:rPr>
              <w:t>46</w:t>
            </w:r>
          </w:p>
          <w:p w:rsidR="0023334F" w:rsidRDefault="0023334F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3334F" w:rsidRDefault="0023334F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3334F" w:rsidRDefault="0023334F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3334F" w:rsidRDefault="0023334F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3334F" w:rsidRPr="006C42DE" w:rsidRDefault="0023334F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3334F" w:rsidTr="0023334F">
        <w:trPr>
          <w:jc w:val="center"/>
        </w:trPr>
        <w:tc>
          <w:tcPr>
            <w:tcW w:w="751" w:type="dxa"/>
          </w:tcPr>
          <w:p w:rsidR="0023334F" w:rsidRPr="006C42DE" w:rsidRDefault="0023334F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23334F" w:rsidRDefault="0023334F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ICFAI Institute of Science &amp; Technology – </w:t>
            </w:r>
          </w:p>
          <w:p w:rsidR="0023334F" w:rsidRDefault="0023334F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3334F" w:rsidRDefault="0023334F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B.Tech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– Electronics and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Electical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Engineering</w:t>
            </w:r>
          </w:p>
          <w:p w:rsidR="0023334F" w:rsidRDefault="0023334F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B.Tech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– Electronics and Communication     </w:t>
            </w:r>
          </w:p>
          <w:p w:rsidR="0023334F" w:rsidRDefault="0023334F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Engineering </w:t>
            </w:r>
          </w:p>
          <w:p w:rsidR="0023334F" w:rsidRDefault="0023334F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B.Tech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– Computer Science and Engineering</w:t>
            </w:r>
          </w:p>
          <w:p w:rsidR="0023334F" w:rsidRDefault="0023334F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B.Tech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– Bio Technology</w:t>
            </w:r>
          </w:p>
        </w:tc>
        <w:tc>
          <w:tcPr>
            <w:tcW w:w="2089" w:type="dxa"/>
          </w:tcPr>
          <w:p w:rsidR="0023334F" w:rsidRDefault="0023334F" w:rsidP="00807E6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3334F" w:rsidRDefault="0023334F" w:rsidP="00807E6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3334F" w:rsidRDefault="0023334F" w:rsidP="00807E6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23334F" w:rsidRDefault="0023334F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404D3" w:rsidRDefault="001404D3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404D3" w:rsidRDefault="001404D3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404D3" w:rsidRPr="001404D3" w:rsidRDefault="001404D3" w:rsidP="001404D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04D3">
              <w:rPr>
                <w:rFonts w:asciiTheme="majorHAnsi" w:hAnsiTheme="majorHAnsi" w:cs="Arial"/>
                <w:sz w:val="24"/>
                <w:szCs w:val="24"/>
              </w:rPr>
              <w:t>--</w:t>
            </w:r>
          </w:p>
        </w:tc>
      </w:tr>
      <w:tr w:rsidR="0023334F" w:rsidTr="0023334F">
        <w:trPr>
          <w:jc w:val="center"/>
        </w:trPr>
        <w:tc>
          <w:tcPr>
            <w:tcW w:w="751" w:type="dxa"/>
          </w:tcPr>
          <w:p w:rsidR="0023334F" w:rsidRDefault="0023334F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23334F" w:rsidRDefault="0023334F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ICFAI Law School – </w:t>
            </w:r>
          </w:p>
          <w:p w:rsidR="0023334F" w:rsidRDefault="0023334F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3334F" w:rsidRPr="0023334F" w:rsidRDefault="0023334F" w:rsidP="0023334F">
            <w:pPr>
              <w:jc w:val="both"/>
              <w:rPr>
                <w:rFonts w:asciiTheme="majorHAnsi" w:hAnsiTheme="majorHAnsi" w:cs="Arial"/>
                <w:caps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BBM, LLB (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Hons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.)/B.</w:t>
            </w:r>
            <w:r>
              <w:rPr>
                <w:rFonts w:asciiTheme="majorHAnsi" w:hAnsiTheme="majorHAnsi" w:cs="Arial"/>
                <w:caps/>
                <w:sz w:val="24"/>
                <w:szCs w:val="24"/>
              </w:rPr>
              <w:t>A. LLB (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Hons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1404D3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  <w:tc>
          <w:tcPr>
            <w:tcW w:w="2089" w:type="dxa"/>
          </w:tcPr>
          <w:p w:rsidR="0023334F" w:rsidRDefault="001404D3" w:rsidP="00807E6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23334F" w:rsidRDefault="0023334F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404D3" w:rsidRDefault="001404D3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404D3" w:rsidRDefault="001404D3" w:rsidP="001404D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404D3">
              <w:rPr>
                <w:rFonts w:asciiTheme="majorHAnsi" w:hAnsiTheme="majorHAnsi" w:cs="Arial"/>
                <w:sz w:val="24"/>
                <w:szCs w:val="24"/>
              </w:rPr>
              <w:t>--</w:t>
            </w:r>
          </w:p>
        </w:tc>
      </w:tr>
      <w:tr w:rsidR="001404D3" w:rsidTr="0023334F">
        <w:trPr>
          <w:jc w:val="center"/>
        </w:trPr>
        <w:tc>
          <w:tcPr>
            <w:tcW w:w="751" w:type="dxa"/>
          </w:tcPr>
          <w:p w:rsidR="001404D3" w:rsidRDefault="001404D3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1404D3" w:rsidRDefault="001404D3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ICFAI National College – </w:t>
            </w:r>
          </w:p>
          <w:p w:rsidR="001404D3" w:rsidRDefault="001404D3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Bachelor of Business Administration</w:t>
            </w:r>
          </w:p>
          <w:p w:rsidR="001404D3" w:rsidRDefault="001404D3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Bachelor in Science</w:t>
            </w:r>
          </w:p>
          <w:p w:rsidR="001404D3" w:rsidRDefault="001404D3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Bachelor in Commerce</w:t>
            </w:r>
          </w:p>
          <w:p w:rsidR="001404D3" w:rsidRDefault="001404D3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Bachelor in Arts</w:t>
            </w:r>
          </w:p>
        </w:tc>
        <w:tc>
          <w:tcPr>
            <w:tcW w:w="2089" w:type="dxa"/>
          </w:tcPr>
          <w:p w:rsidR="001404D3" w:rsidRDefault="001404D3" w:rsidP="00807E6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1404D3" w:rsidRDefault="001404D3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404D3" w:rsidRDefault="001404D3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404D3" w:rsidRPr="001404D3" w:rsidRDefault="001404D3" w:rsidP="001404D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04D3">
              <w:rPr>
                <w:rFonts w:asciiTheme="majorHAnsi" w:hAnsiTheme="majorHAnsi" w:cs="Arial"/>
                <w:sz w:val="24"/>
                <w:szCs w:val="24"/>
              </w:rPr>
              <w:t>153</w:t>
            </w:r>
          </w:p>
        </w:tc>
      </w:tr>
      <w:tr w:rsidR="001404D3" w:rsidTr="0023334F">
        <w:trPr>
          <w:jc w:val="center"/>
        </w:trPr>
        <w:tc>
          <w:tcPr>
            <w:tcW w:w="751" w:type="dxa"/>
          </w:tcPr>
          <w:p w:rsidR="001404D3" w:rsidRDefault="001404D3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1404D3" w:rsidRDefault="00807E6A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ICFAI College of Education – </w:t>
            </w:r>
          </w:p>
          <w:p w:rsidR="00807E6A" w:rsidRDefault="00807E6A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07E6A" w:rsidRDefault="00807E6A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2089" w:type="dxa"/>
          </w:tcPr>
          <w:p w:rsidR="001404D3" w:rsidRDefault="00807E6A" w:rsidP="00807E6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1404D3" w:rsidRDefault="001404D3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07E6A" w:rsidTr="0023334F">
        <w:trPr>
          <w:jc w:val="center"/>
        </w:trPr>
        <w:tc>
          <w:tcPr>
            <w:tcW w:w="751" w:type="dxa"/>
          </w:tcPr>
          <w:p w:rsidR="00807E6A" w:rsidRDefault="00807E6A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07E6A" w:rsidRDefault="00807E6A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ICFAI Institute of Management Teachers – </w:t>
            </w:r>
          </w:p>
          <w:p w:rsidR="00807E6A" w:rsidRDefault="00807E6A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07E6A" w:rsidRDefault="00807E6A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MTP</w:t>
            </w:r>
          </w:p>
        </w:tc>
        <w:tc>
          <w:tcPr>
            <w:tcW w:w="2089" w:type="dxa"/>
          </w:tcPr>
          <w:p w:rsidR="00807E6A" w:rsidRDefault="00807E6A" w:rsidP="00807E6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807E6A" w:rsidRDefault="00807E6A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07E6A" w:rsidTr="0023334F">
        <w:trPr>
          <w:jc w:val="center"/>
        </w:trPr>
        <w:tc>
          <w:tcPr>
            <w:tcW w:w="751" w:type="dxa"/>
          </w:tcPr>
          <w:p w:rsidR="00807E6A" w:rsidRDefault="00807E6A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5" w:type="dxa"/>
          </w:tcPr>
          <w:p w:rsidR="00807E6A" w:rsidRDefault="00807E6A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ICFAI School of Financial Studies</w:t>
            </w:r>
          </w:p>
          <w:p w:rsidR="00807E6A" w:rsidRDefault="00807E6A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07E6A" w:rsidRDefault="00807E6A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MS (Finance) Program</w:t>
            </w:r>
          </w:p>
          <w:p w:rsidR="00807E6A" w:rsidRDefault="00807E6A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MS (Accounting) Program</w:t>
            </w:r>
          </w:p>
          <w:p w:rsidR="00807E6A" w:rsidRDefault="00807E6A" w:rsidP="00807E6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MS (Banking) Program</w:t>
            </w:r>
          </w:p>
          <w:p w:rsidR="00807E6A" w:rsidRDefault="00807E6A" w:rsidP="00807E6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MS (Insurance) Program</w:t>
            </w:r>
          </w:p>
        </w:tc>
        <w:tc>
          <w:tcPr>
            <w:tcW w:w="2089" w:type="dxa"/>
          </w:tcPr>
          <w:p w:rsidR="00807E6A" w:rsidRDefault="00807E6A" w:rsidP="00807E6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807E6A" w:rsidRDefault="00807E6A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07E6A" w:rsidTr="0023334F">
        <w:trPr>
          <w:jc w:val="center"/>
        </w:trPr>
        <w:tc>
          <w:tcPr>
            <w:tcW w:w="751" w:type="dxa"/>
          </w:tcPr>
          <w:p w:rsidR="00807E6A" w:rsidRDefault="00807E6A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07E6A" w:rsidRDefault="00807E6A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ICFAI School of Information Technologies</w:t>
            </w:r>
          </w:p>
          <w:p w:rsidR="00807E6A" w:rsidRDefault="00807E6A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07E6A" w:rsidRDefault="00807E6A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Master of Computer Application</w:t>
            </w:r>
          </w:p>
        </w:tc>
        <w:tc>
          <w:tcPr>
            <w:tcW w:w="2089" w:type="dxa"/>
          </w:tcPr>
          <w:p w:rsidR="00807E6A" w:rsidRDefault="00807E6A" w:rsidP="00807E6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807E6A" w:rsidRDefault="00807E6A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07E6A" w:rsidTr="0023334F">
        <w:trPr>
          <w:jc w:val="center"/>
        </w:trPr>
        <w:tc>
          <w:tcPr>
            <w:tcW w:w="751" w:type="dxa"/>
          </w:tcPr>
          <w:p w:rsidR="00807E6A" w:rsidRDefault="00807E6A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807E6A" w:rsidRDefault="00807E6A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ICFAI School of Public Policy</w:t>
            </w:r>
          </w:p>
          <w:p w:rsidR="00807E6A" w:rsidRDefault="00807E6A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07E6A" w:rsidRDefault="00807E6A" w:rsidP="0023334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Master of Public Policy</w:t>
            </w:r>
          </w:p>
        </w:tc>
        <w:tc>
          <w:tcPr>
            <w:tcW w:w="2089" w:type="dxa"/>
          </w:tcPr>
          <w:p w:rsidR="00807E6A" w:rsidRDefault="00807E6A" w:rsidP="00807E6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807E6A" w:rsidRDefault="00807E6A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23334F" w:rsidRDefault="0023334F" w:rsidP="0023334F">
      <w:pPr>
        <w:rPr>
          <w:rFonts w:asciiTheme="majorHAnsi" w:hAnsiTheme="majorHAnsi" w:cs="Arial"/>
          <w:b/>
          <w:sz w:val="24"/>
          <w:szCs w:val="24"/>
        </w:rPr>
      </w:pPr>
    </w:p>
    <w:p w:rsidR="005B6876" w:rsidRDefault="005B6876"/>
    <w:sectPr w:rsidR="005B6876" w:rsidSect="00D6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67D"/>
    <w:multiLevelType w:val="hybridMultilevel"/>
    <w:tmpl w:val="A9243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D5538"/>
    <w:multiLevelType w:val="hybridMultilevel"/>
    <w:tmpl w:val="AA0C1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334F"/>
    <w:rsid w:val="001333EA"/>
    <w:rsid w:val="001404D3"/>
    <w:rsid w:val="0023334F"/>
    <w:rsid w:val="005B6876"/>
    <w:rsid w:val="00807E6A"/>
    <w:rsid w:val="00A86ACA"/>
    <w:rsid w:val="00D63E59"/>
    <w:rsid w:val="00DE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34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34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arnavaz</cp:lastModifiedBy>
  <cp:revision>4</cp:revision>
  <cp:lastPrinted>2013-07-11T06:35:00Z</cp:lastPrinted>
  <dcterms:created xsi:type="dcterms:W3CDTF">2013-07-11T05:50:00Z</dcterms:created>
  <dcterms:modified xsi:type="dcterms:W3CDTF">2013-08-22T09:03:00Z</dcterms:modified>
</cp:coreProperties>
</file>